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810CF">
      <w:pPr>
        <w:rPr>
          <w:rFonts w:hint="eastAsia" w:ascii="黑体" w:hAnsi="黑体" w:eastAsia="黑体"/>
          <w:sz w:val="32"/>
          <w:szCs w:val="32"/>
        </w:rPr>
      </w:pPr>
    </w:p>
    <w:p w14:paraId="1913C6B4">
      <w:pPr>
        <w:jc w:val="center"/>
        <w:rPr>
          <w:rFonts w:hint="eastAsia" w:ascii="方正小标宋_GBK" w:hAnsi="宋体" w:eastAsia="方正小标宋_GBK"/>
          <w:sz w:val="44"/>
          <w:szCs w:val="44"/>
        </w:rPr>
      </w:pPr>
    </w:p>
    <w:p w14:paraId="17667E8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木垒哈萨克自治县博斯坦乡中心学校</w:t>
      </w:r>
    </w:p>
    <w:p w14:paraId="75AF2F0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3A45F8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6739A3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84460E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75F39C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30A62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E62B4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B6C362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870618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5C337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F032C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68BA1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D34BE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17645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C0AA4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8BD3F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416F3F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3673E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FC7D06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33533D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8C2FD7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BEB85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0F1B190">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D5804F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1149D1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4BC7F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E6FCE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DBE0E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D42F2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98748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6155B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34FF9B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FB52EF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9B3113C">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1280319">
      <w:r>
        <w:rPr>
          <w:rFonts w:hint="eastAsia" w:ascii="仿宋_GB2312" w:hAnsi="仿宋_GB2312" w:eastAsia="仿宋_GB2312" w:cs="仿宋_GB2312"/>
          <w:sz w:val="32"/>
          <w:szCs w:val="32"/>
        </w:rPr>
        <w:fldChar w:fldCharType="end"/>
      </w:r>
    </w:p>
    <w:p w14:paraId="4CEB8993">
      <w:pPr>
        <w:rPr>
          <w:rFonts w:ascii="仿宋_GB2312" w:eastAsia="仿宋_GB2312"/>
          <w:sz w:val="32"/>
          <w:szCs w:val="32"/>
        </w:rPr>
      </w:pPr>
      <w:r>
        <w:rPr>
          <w:rFonts w:hint="eastAsia" w:ascii="仿宋_GB2312" w:eastAsia="仿宋_GB2312"/>
          <w:sz w:val="32"/>
          <w:szCs w:val="32"/>
        </w:rPr>
        <w:br w:type="page"/>
      </w:r>
    </w:p>
    <w:p w14:paraId="096EB96B">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885403F">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38E3EC1">
      <w:pPr>
        <w:ind w:firstLine="640" w:firstLineChars="200"/>
        <w:jc w:val="left"/>
        <w:rPr>
          <w:rFonts w:ascii="仿宋_GB2312" w:eastAsia="仿宋_GB2312"/>
          <w:sz w:val="32"/>
          <w:szCs w:val="32"/>
        </w:rPr>
      </w:pPr>
      <w:bookmarkStart w:id="4" w:name="_Toc31238"/>
      <w:bookmarkStart w:id="5" w:name="_Toc2151"/>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eastAsia="仿宋_GB2312"/>
          <w:sz w:val="32"/>
          <w:szCs w:val="32"/>
          <w:lang w:eastAsia="zh-CN"/>
        </w:rPr>
        <w:t>主动地</w:t>
      </w:r>
      <w:r>
        <w:rPr>
          <w:rFonts w:hint="eastAsia" w:ascii="仿宋_GB2312" w:eastAsia="仿宋_GB2312"/>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p>
    <w:p w14:paraId="57A464AA">
      <w:pPr>
        <w:ind w:firstLine="640" w:firstLineChars="200"/>
        <w:jc w:val="left"/>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7928C6F6">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A09C359">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木垒哈萨克自治县博斯坦乡中心学校2023年度，实有人数</w:t>
      </w:r>
      <w:r>
        <w:rPr>
          <w:rFonts w:hint="eastAsia" w:ascii="仿宋_GB2312" w:eastAsia="仿宋_GB2312"/>
          <w:sz w:val="32"/>
          <w:szCs w:val="32"/>
          <w:lang w:val="zh-CN"/>
        </w:rPr>
        <w:t>121</w:t>
      </w:r>
      <w:r>
        <w:rPr>
          <w:rFonts w:hint="eastAsia" w:ascii="仿宋_GB2312" w:eastAsia="仿宋_GB2312"/>
          <w:sz w:val="32"/>
          <w:szCs w:val="32"/>
        </w:rPr>
        <w:t>人，其中：在职人员</w:t>
      </w:r>
      <w:r>
        <w:rPr>
          <w:rFonts w:hint="eastAsia" w:ascii="仿宋_GB2312" w:eastAsia="仿宋_GB2312"/>
          <w:sz w:val="32"/>
          <w:szCs w:val="32"/>
          <w:lang w:val="zh-CN"/>
        </w:rPr>
        <w:t>82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39</w:t>
      </w:r>
      <w:r>
        <w:rPr>
          <w:rFonts w:hint="eastAsia" w:ascii="仿宋_GB2312" w:eastAsia="仿宋_GB2312"/>
          <w:sz w:val="32"/>
          <w:szCs w:val="32"/>
        </w:rPr>
        <w:t>人。</w:t>
      </w:r>
    </w:p>
    <w:p w14:paraId="6E039801">
      <w:pPr>
        <w:widowControl/>
        <w:spacing w:line="540" w:lineRule="exact"/>
        <w:ind w:firstLine="640"/>
        <w:jc w:val="left"/>
        <w:rPr>
          <w:rFonts w:ascii="仿宋_GB2312" w:eastAsia="仿宋_GB2312"/>
          <w:sz w:val="32"/>
          <w:szCs w:val="32"/>
        </w:rPr>
      </w:pPr>
      <w:r>
        <w:rPr>
          <w:rFonts w:hint="eastAsia" w:ascii="仿宋_GB2312" w:hAnsi="黑体" w:eastAsia="仿宋_GB2312" w:cs="宋体"/>
          <w:bCs/>
          <w:kern w:val="0"/>
          <w:sz w:val="32"/>
          <w:szCs w:val="32"/>
        </w:rPr>
        <w:t>单位无下属预算单位，</w:t>
      </w:r>
      <w:r>
        <w:rPr>
          <w:rFonts w:hint="eastAsia" w:ascii="仿宋_GB2312" w:hAnsi="仿宋" w:eastAsia="仿宋_GB2312"/>
          <w:sz w:val="32"/>
          <w:szCs w:val="32"/>
        </w:rPr>
        <w:t>下设4个处室，分别是：教务室、总务室、财务室、德育室。</w:t>
      </w:r>
    </w:p>
    <w:p w14:paraId="07EE3A65">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63B0B1B4">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E01EF3D">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73CE18D">
      <w:pPr>
        <w:ind w:firstLine="640" w:firstLineChars="200"/>
        <w:jc w:val="left"/>
        <w:rPr>
          <w:rFonts w:ascii="仿宋_GB2312" w:eastAsia="仿宋_GB2312"/>
          <w:sz w:val="32"/>
          <w:szCs w:val="32"/>
        </w:rPr>
      </w:pPr>
      <w:r>
        <w:rPr>
          <w:rFonts w:hint="eastAsia" w:ascii="仿宋_GB2312" w:eastAsia="仿宋_GB2312"/>
          <w:sz w:val="32"/>
          <w:szCs w:val="32"/>
        </w:rPr>
        <w:t>2023年度收入总计1,806.54万元，其中：本年收入合计1,794.20万元，使用非财政拨款结余0.00万元，年初结转和结余12.34万元。</w:t>
      </w:r>
    </w:p>
    <w:p w14:paraId="5706F4C5">
      <w:pPr>
        <w:ind w:firstLine="640" w:firstLineChars="200"/>
        <w:jc w:val="left"/>
        <w:rPr>
          <w:rFonts w:ascii="仿宋_GB2312" w:eastAsia="仿宋_GB2312"/>
          <w:sz w:val="32"/>
          <w:szCs w:val="32"/>
        </w:rPr>
      </w:pPr>
      <w:r>
        <w:rPr>
          <w:rFonts w:hint="eastAsia" w:ascii="仿宋_GB2312" w:eastAsia="仿宋_GB2312"/>
          <w:sz w:val="32"/>
          <w:szCs w:val="32"/>
        </w:rPr>
        <w:t>2023年度支出总计1,806.54万元，其中：本年支出合计1,806.54万元，结余分配0.00万元，年末结转和结余0.00万元。</w:t>
      </w:r>
    </w:p>
    <w:p w14:paraId="6EB7465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增加133.89万元</w:t>
      </w:r>
      <w:r>
        <w:rPr>
          <w:rFonts w:hint="eastAsia" w:ascii="仿宋_GB2312" w:eastAsia="仿宋_GB2312"/>
          <w:sz w:val="32"/>
          <w:szCs w:val="32"/>
        </w:rPr>
        <w:t>，增长8.00%，主要原因是：单位本</w:t>
      </w:r>
      <w:r>
        <w:rPr>
          <w:rFonts w:hint="eastAsia" w:ascii="仿宋_GB2312" w:eastAsia="仿宋_GB2312"/>
          <w:sz w:val="32"/>
          <w:szCs w:val="32"/>
          <w:lang w:val="zh-CN"/>
        </w:rPr>
        <w:t>年家庭经济困难学生生活补助（寄宿生）</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val="zh-CN"/>
        </w:rPr>
        <w:t>。</w:t>
      </w:r>
    </w:p>
    <w:p w14:paraId="69CC0118">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94CECB6">
      <w:pPr>
        <w:ind w:firstLine="640" w:firstLineChars="200"/>
        <w:jc w:val="left"/>
        <w:rPr>
          <w:rFonts w:ascii="仿宋_GB2312" w:eastAsia="仿宋_GB2312"/>
          <w:sz w:val="32"/>
          <w:szCs w:val="32"/>
        </w:rPr>
      </w:pPr>
      <w:r>
        <w:rPr>
          <w:rFonts w:hint="eastAsia" w:ascii="仿宋_GB2312" w:eastAsia="仿宋_GB2312"/>
          <w:sz w:val="32"/>
          <w:szCs w:val="32"/>
        </w:rPr>
        <w:t>本年收入1,794.20万元，其中：财政拨款收入</w:t>
      </w:r>
      <w:r>
        <w:rPr>
          <w:rFonts w:hint="eastAsia" w:ascii="仿宋_GB2312" w:eastAsia="仿宋_GB2312"/>
          <w:sz w:val="32"/>
          <w:szCs w:val="32"/>
          <w:lang w:val="zh-CN"/>
        </w:rPr>
        <w:t>1,787.26</w:t>
      </w:r>
      <w:r>
        <w:rPr>
          <w:rFonts w:hint="eastAsia" w:ascii="仿宋_GB2312" w:eastAsia="仿宋_GB2312"/>
          <w:sz w:val="32"/>
          <w:szCs w:val="32"/>
        </w:rPr>
        <w:t>万元，占</w:t>
      </w:r>
      <w:r>
        <w:rPr>
          <w:rFonts w:hint="eastAsia" w:ascii="仿宋_GB2312" w:eastAsia="仿宋_GB2312"/>
          <w:sz w:val="32"/>
          <w:szCs w:val="32"/>
          <w:lang w:val="zh-CN"/>
        </w:rPr>
        <w:t>99.61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6.9</w:t>
      </w:r>
      <w:r>
        <w:rPr>
          <w:rFonts w:hint="eastAsia" w:ascii="仿宋_GB2312" w:eastAsia="仿宋_GB2312"/>
          <w:sz w:val="32"/>
          <w:szCs w:val="32"/>
          <w:lang w:val="en-US" w:eastAsia="zh-CN"/>
        </w:rPr>
        <w:t>5</w:t>
      </w:r>
      <w:r>
        <w:rPr>
          <w:rFonts w:hint="eastAsia" w:ascii="仿宋_GB2312" w:eastAsia="仿宋_GB2312"/>
          <w:sz w:val="32"/>
          <w:szCs w:val="32"/>
        </w:rPr>
        <w:t>万元，占</w:t>
      </w:r>
      <w:r>
        <w:rPr>
          <w:rFonts w:hint="eastAsia" w:ascii="仿宋_GB2312" w:eastAsia="仿宋_GB2312"/>
          <w:sz w:val="32"/>
          <w:szCs w:val="32"/>
          <w:lang w:val="zh-CN"/>
        </w:rPr>
        <w:t>0.39</w:t>
      </w:r>
      <w:r>
        <w:rPr>
          <w:rFonts w:hint="eastAsia" w:ascii="仿宋_GB2312" w:eastAsia="仿宋_GB2312"/>
          <w:sz w:val="32"/>
          <w:szCs w:val="32"/>
        </w:rPr>
        <w:t>%。</w:t>
      </w:r>
    </w:p>
    <w:p w14:paraId="200687A2">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BB4A95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本年支出1,806.54万元，其中：基本支出1,698.54万元，占94.02%；项目支出108.00万元，占5.98%；上缴上级支出0.00万元，占0.00%；经营支出0.00万元，占0.00%；对附属单位补助支出0.00万元，占0.00%。</w:t>
      </w:r>
    </w:p>
    <w:p w14:paraId="1F5A6669">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2D375DD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2023年度财政拨款收入</w:t>
      </w:r>
      <w:r>
        <w:rPr>
          <w:rFonts w:hint="eastAsia" w:ascii="仿宋_GB2312" w:eastAsia="仿宋_GB2312"/>
          <w:sz w:val="32"/>
          <w:szCs w:val="32"/>
        </w:rPr>
        <w:t>总计</w:t>
      </w:r>
      <w:r>
        <w:rPr>
          <w:rFonts w:hint="eastAsia" w:ascii="仿宋_GB2312" w:eastAsia="仿宋_GB2312"/>
          <w:sz w:val="32"/>
          <w:szCs w:val="32"/>
          <w:lang w:val="zh-CN"/>
        </w:rPr>
        <w:t>1,787.26万元，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本年财政拨款收入</w:t>
      </w:r>
      <w:r>
        <w:rPr>
          <w:rFonts w:hint="eastAsia" w:ascii="仿宋_GB2312" w:eastAsia="仿宋_GB2312"/>
          <w:sz w:val="32"/>
          <w:szCs w:val="32"/>
          <w:lang w:val="zh-CN"/>
        </w:rPr>
        <w:t>1,787.26万元。财政拨款支出</w:t>
      </w:r>
      <w:r>
        <w:rPr>
          <w:rFonts w:hint="eastAsia" w:ascii="仿宋_GB2312" w:eastAsia="仿宋_GB2312"/>
          <w:sz w:val="32"/>
          <w:szCs w:val="32"/>
        </w:rPr>
        <w:t>总计</w:t>
      </w:r>
      <w:r>
        <w:rPr>
          <w:rFonts w:hint="eastAsia" w:ascii="仿宋_GB2312" w:eastAsia="仿宋_GB2312"/>
          <w:sz w:val="32"/>
          <w:szCs w:val="32"/>
          <w:lang w:val="zh-CN"/>
        </w:rPr>
        <w:t>1,787.26万元，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本年财政拨款支出</w:t>
      </w:r>
      <w:r>
        <w:rPr>
          <w:rFonts w:hint="eastAsia" w:ascii="仿宋_GB2312" w:eastAsia="仿宋_GB2312"/>
          <w:sz w:val="32"/>
          <w:szCs w:val="32"/>
          <w:lang w:val="zh-CN"/>
        </w:rPr>
        <w:t>1,787.26万元。</w:t>
      </w:r>
    </w:p>
    <w:p w14:paraId="6D4D48E3">
      <w:pPr>
        <w:ind w:firstLine="640" w:firstLineChars="200"/>
        <w:jc w:val="left"/>
        <w:rPr>
          <w:rFonts w:ascii="仿宋_GB2312" w:eastAsia="仿宋_GB2312"/>
          <w:sz w:val="32"/>
          <w:szCs w:val="32"/>
        </w:rPr>
      </w:pPr>
      <w:r>
        <w:rPr>
          <w:rFonts w:hint="eastAsia" w:ascii="仿宋_GB2312" w:eastAsia="仿宋_GB2312"/>
          <w:sz w:val="32"/>
          <w:szCs w:val="32"/>
          <w:lang w:val="zh-CN"/>
        </w:rPr>
        <w:t>财政拨款收入支出总体与上年相比</w:t>
      </w:r>
      <w:r>
        <w:rPr>
          <w:rFonts w:hint="eastAsia" w:ascii="仿宋_GB2312" w:eastAsia="仿宋_GB2312"/>
          <w:sz w:val="32"/>
          <w:szCs w:val="32"/>
        </w:rPr>
        <w:t>,</w:t>
      </w:r>
      <w:r>
        <w:rPr>
          <w:rFonts w:hint="eastAsia" w:ascii="仿宋_GB2312" w:eastAsia="仿宋_GB2312"/>
          <w:sz w:val="32"/>
          <w:szCs w:val="32"/>
          <w:lang w:val="zh-CN"/>
        </w:rPr>
        <w:t>增加139.77万元，</w:t>
      </w:r>
      <w:r>
        <w:rPr>
          <w:rFonts w:hint="eastAsia" w:ascii="仿宋_GB2312" w:eastAsia="仿宋_GB2312"/>
          <w:sz w:val="32"/>
          <w:szCs w:val="32"/>
        </w:rPr>
        <w:t>增长8.48%,</w:t>
      </w:r>
      <w:r>
        <w:rPr>
          <w:rFonts w:hint="eastAsia" w:ascii="仿宋_GB2312" w:eastAsia="仿宋_GB2312"/>
          <w:sz w:val="32"/>
          <w:szCs w:val="32"/>
          <w:lang w:val="zh-CN"/>
        </w:rPr>
        <w:t>主要原因是：</w:t>
      </w:r>
      <w:r>
        <w:rPr>
          <w:rFonts w:hint="eastAsia" w:ascii="仿宋_GB2312" w:eastAsia="仿宋_GB2312"/>
          <w:sz w:val="32"/>
          <w:szCs w:val="32"/>
        </w:rPr>
        <w:t>单位本</w:t>
      </w:r>
      <w:r>
        <w:rPr>
          <w:rFonts w:hint="eastAsia" w:ascii="仿宋_GB2312" w:eastAsia="仿宋_GB2312"/>
          <w:sz w:val="32"/>
          <w:szCs w:val="32"/>
          <w:lang w:val="zh-CN"/>
        </w:rPr>
        <w:t>年家庭经济困难学生生活补助（寄宿生）</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val="zh-CN"/>
        </w:rPr>
        <w:t>。与年初预算相比，年初预算数1,718.02万元，决算数1,787.26万元，预决算差异率4.03%，主要原因是：</w:t>
      </w:r>
      <w:r>
        <w:rPr>
          <w:rFonts w:hint="eastAsia" w:ascii="仿宋_GB2312" w:eastAsia="仿宋_GB2312"/>
          <w:sz w:val="32"/>
          <w:szCs w:val="32"/>
        </w:rPr>
        <w:t>年中追加</w:t>
      </w:r>
      <w:r>
        <w:rPr>
          <w:rFonts w:hint="eastAsia" w:ascii="仿宋_GB2312" w:eastAsia="仿宋_GB2312"/>
          <w:sz w:val="32"/>
          <w:szCs w:val="32"/>
          <w:lang w:val="zh-CN"/>
        </w:rPr>
        <w:t>家庭经济困难学生生活补助（寄宿生）</w:t>
      </w:r>
      <w:r>
        <w:rPr>
          <w:rFonts w:hint="eastAsia" w:ascii="仿宋_GB2312" w:eastAsia="仿宋_GB2312"/>
          <w:sz w:val="32"/>
          <w:szCs w:val="32"/>
          <w:lang w:val="en-US" w:eastAsia="zh-CN"/>
        </w:rPr>
        <w:t>项目经费</w:t>
      </w:r>
      <w:r>
        <w:rPr>
          <w:rFonts w:hint="eastAsia" w:ascii="仿宋_GB2312" w:eastAsia="仿宋_GB2312"/>
          <w:sz w:val="32"/>
          <w:szCs w:val="32"/>
          <w:lang w:val="zh-CN"/>
        </w:rPr>
        <w:t>。</w:t>
      </w:r>
    </w:p>
    <w:p w14:paraId="1E073C50">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0F494B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7B35097">
      <w:pPr>
        <w:ind w:firstLine="640" w:firstLineChars="200"/>
        <w:jc w:val="left"/>
        <w:rPr>
          <w:rFonts w:ascii="仿宋_GB2312" w:eastAsia="仿宋_GB2312"/>
          <w:sz w:val="32"/>
          <w:szCs w:val="32"/>
        </w:rPr>
      </w:pPr>
      <w:r>
        <w:rPr>
          <w:rFonts w:hint="eastAsia" w:ascii="仿宋_GB2312" w:eastAsia="仿宋_GB2312"/>
          <w:sz w:val="32"/>
          <w:szCs w:val="32"/>
          <w:lang w:val="zh-CN"/>
        </w:rPr>
        <w:t>2023年度一般公共预算财政拨款支出1,787.26万元，占本年支出合计的98.93%。与上年相比，增加139.77万元，</w:t>
      </w:r>
      <w:r>
        <w:rPr>
          <w:rFonts w:hint="eastAsia" w:ascii="仿宋_GB2312" w:eastAsia="仿宋_GB2312"/>
          <w:sz w:val="32"/>
          <w:szCs w:val="32"/>
        </w:rPr>
        <w:t>增长8.48%,</w:t>
      </w:r>
      <w:r>
        <w:rPr>
          <w:rFonts w:hint="eastAsia" w:ascii="仿宋_GB2312" w:eastAsia="仿宋_GB2312"/>
          <w:sz w:val="32"/>
          <w:szCs w:val="32"/>
          <w:lang w:val="zh-CN"/>
        </w:rPr>
        <w:t>主要原因是：</w:t>
      </w:r>
      <w:r>
        <w:rPr>
          <w:rFonts w:hint="eastAsia" w:ascii="仿宋_GB2312" w:eastAsia="仿宋_GB2312"/>
          <w:sz w:val="32"/>
          <w:szCs w:val="32"/>
        </w:rPr>
        <w:t>单位本</w:t>
      </w:r>
      <w:r>
        <w:rPr>
          <w:rFonts w:hint="eastAsia" w:ascii="仿宋_GB2312" w:eastAsia="仿宋_GB2312"/>
          <w:sz w:val="32"/>
          <w:szCs w:val="32"/>
          <w:lang w:val="zh-CN"/>
        </w:rPr>
        <w:t>年家庭经济困难学生生活补助（寄宿生）</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val="zh-CN"/>
        </w:rPr>
        <w:t>。与年初预算相比，年初预算数1,718.02万元，决算数1,787.26万元，预决算差异率4.03%，主要原因是：</w:t>
      </w:r>
      <w:r>
        <w:rPr>
          <w:rFonts w:hint="eastAsia" w:ascii="仿宋_GB2312" w:eastAsia="仿宋_GB2312"/>
          <w:sz w:val="32"/>
          <w:szCs w:val="32"/>
        </w:rPr>
        <w:t>年中追加</w:t>
      </w:r>
      <w:r>
        <w:rPr>
          <w:rFonts w:hint="eastAsia" w:ascii="仿宋_GB2312" w:eastAsia="仿宋_GB2312"/>
          <w:sz w:val="32"/>
          <w:szCs w:val="32"/>
          <w:lang w:val="zh-CN"/>
        </w:rPr>
        <w:t>家庭经济困难学生生活补助（寄宿生）</w:t>
      </w:r>
      <w:r>
        <w:rPr>
          <w:rFonts w:hint="eastAsia" w:ascii="仿宋_GB2312" w:eastAsia="仿宋_GB2312"/>
          <w:sz w:val="32"/>
          <w:szCs w:val="32"/>
          <w:lang w:val="en-US" w:eastAsia="zh-CN"/>
        </w:rPr>
        <w:t>项目经费</w:t>
      </w:r>
      <w:r>
        <w:rPr>
          <w:rFonts w:hint="eastAsia" w:ascii="仿宋_GB2312" w:eastAsia="仿宋_GB2312"/>
          <w:sz w:val="32"/>
          <w:szCs w:val="32"/>
          <w:lang w:val="zh-CN"/>
        </w:rPr>
        <w:t>。</w:t>
      </w:r>
    </w:p>
    <w:p w14:paraId="01F93A8B">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939B71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1,694.19</w:t>
      </w:r>
      <w:r>
        <w:rPr>
          <w:rFonts w:ascii="仿宋_GB2312" w:eastAsia="仿宋_GB2312"/>
          <w:kern w:val="2"/>
          <w:sz w:val="32"/>
          <w:szCs w:val="32"/>
          <w:lang w:val="zh-CN"/>
        </w:rPr>
        <w:t>万元，占</w:t>
      </w:r>
      <w:r>
        <w:rPr>
          <w:rFonts w:hint="eastAsia" w:ascii="仿宋_GB2312" w:eastAsia="仿宋_GB2312"/>
          <w:kern w:val="2"/>
          <w:sz w:val="32"/>
          <w:szCs w:val="32"/>
          <w:lang w:val="zh-CN"/>
        </w:rPr>
        <w:t>94.79</w:t>
      </w:r>
      <w:r>
        <w:rPr>
          <w:rFonts w:ascii="仿宋_GB2312" w:eastAsia="仿宋_GB2312"/>
          <w:kern w:val="2"/>
          <w:sz w:val="32"/>
          <w:szCs w:val="32"/>
          <w:lang w:val="zh-CN"/>
        </w:rPr>
        <w:t>%；</w:t>
      </w:r>
    </w:p>
    <w:p w14:paraId="47B8E9A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93.07</w:t>
      </w:r>
      <w:r>
        <w:rPr>
          <w:rFonts w:ascii="仿宋_GB2312" w:eastAsia="仿宋_GB2312"/>
          <w:kern w:val="2"/>
          <w:sz w:val="32"/>
          <w:szCs w:val="32"/>
          <w:lang w:val="zh-CN"/>
        </w:rPr>
        <w:t>万元，占</w:t>
      </w:r>
      <w:r>
        <w:rPr>
          <w:rFonts w:hint="eastAsia" w:ascii="仿宋_GB2312" w:eastAsia="仿宋_GB2312"/>
          <w:kern w:val="2"/>
          <w:sz w:val="32"/>
          <w:szCs w:val="32"/>
          <w:lang w:val="zh-CN"/>
        </w:rPr>
        <w:t>5.21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DBC79B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391ABCF">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1.教育支出（类）教育费附加安排的支出（款）其他教育费附加安排的支出（项）:支出决算数为2.12万元，比上年决算减少2.88万元，下降57.</w:t>
      </w:r>
      <w:r>
        <w:rPr>
          <w:rFonts w:hint="eastAsia" w:ascii="仿宋_GB2312" w:eastAsia="仿宋_GB2312"/>
          <w:sz w:val="32"/>
          <w:szCs w:val="32"/>
          <w:lang w:val="en-US" w:eastAsia="zh-CN"/>
        </w:rPr>
        <w:t>60</w:t>
      </w:r>
      <w:r>
        <w:rPr>
          <w:rFonts w:hint="eastAsia" w:ascii="仿宋_GB2312" w:eastAsia="仿宋_GB2312"/>
          <w:sz w:val="32"/>
          <w:szCs w:val="32"/>
        </w:rPr>
        <w:t>%，主要原因是：单位本年</w:t>
      </w:r>
      <w:r>
        <w:rPr>
          <w:rFonts w:hint="eastAsia" w:ascii="仿宋_GB2312" w:eastAsia="仿宋_GB2312"/>
          <w:sz w:val="32"/>
          <w:szCs w:val="32"/>
          <w:lang w:val="zh-CN"/>
        </w:rPr>
        <w:t>课后服务</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减少</w:t>
      </w:r>
      <w:r>
        <w:rPr>
          <w:rFonts w:hint="eastAsia" w:ascii="仿宋_GB2312" w:eastAsia="仿宋_GB2312"/>
          <w:sz w:val="32"/>
          <w:szCs w:val="32"/>
          <w:lang w:val="zh-CN"/>
        </w:rPr>
        <w:t>。</w:t>
      </w:r>
    </w:p>
    <w:p w14:paraId="519A649C">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2.社会保障和就业支出（类）抚恤（款）死亡抚恤（项）:支出决算数为11.74万元，比上年决算增加9.4</w:t>
      </w:r>
      <w:r>
        <w:rPr>
          <w:rFonts w:hint="eastAsia" w:ascii="仿宋_GB2312" w:eastAsia="仿宋_GB2312"/>
          <w:sz w:val="32"/>
          <w:szCs w:val="32"/>
          <w:lang w:val="en-US" w:eastAsia="zh-CN"/>
        </w:rPr>
        <w:t>4</w:t>
      </w:r>
      <w:r>
        <w:rPr>
          <w:rFonts w:hint="eastAsia" w:ascii="仿宋_GB2312" w:eastAsia="仿宋_GB2312"/>
          <w:sz w:val="32"/>
          <w:szCs w:val="32"/>
        </w:rPr>
        <w:t>万元，增长4</w:t>
      </w:r>
      <w:r>
        <w:rPr>
          <w:rFonts w:hint="eastAsia" w:ascii="仿宋_GB2312" w:eastAsia="仿宋_GB2312"/>
          <w:sz w:val="32"/>
          <w:szCs w:val="32"/>
          <w:lang w:val="en-US" w:eastAsia="zh-CN"/>
        </w:rPr>
        <w:t>10</w:t>
      </w:r>
      <w:r>
        <w:rPr>
          <w:rFonts w:hint="eastAsia" w:ascii="仿宋_GB2312" w:eastAsia="仿宋_GB2312"/>
          <w:sz w:val="32"/>
          <w:szCs w:val="32"/>
        </w:rPr>
        <w:t>.4</w:t>
      </w:r>
      <w:r>
        <w:rPr>
          <w:rFonts w:hint="eastAsia" w:ascii="仿宋_GB2312" w:eastAsia="仿宋_GB2312"/>
          <w:sz w:val="32"/>
          <w:szCs w:val="32"/>
          <w:lang w:val="en-US" w:eastAsia="zh-CN"/>
        </w:rPr>
        <w:t>3</w:t>
      </w:r>
      <w:r>
        <w:rPr>
          <w:rFonts w:hint="eastAsia" w:ascii="仿宋_GB2312" w:eastAsia="仿宋_GB2312"/>
          <w:sz w:val="32"/>
          <w:szCs w:val="32"/>
        </w:rPr>
        <w:t>%，主要原因是：单位本年人员丧葬费、抚恤金补助较上年增加</w:t>
      </w:r>
      <w:r>
        <w:rPr>
          <w:rFonts w:hint="eastAsia" w:ascii="仿宋_GB2312" w:eastAsia="仿宋_GB2312"/>
          <w:sz w:val="32"/>
          <w:szCs w:val="32"/>
          <w:lang w:val="zh-CN"/>
        </w:rPr>
        <w:t>。</w:t>
      </w:r>
    </w:p>
    <w:p w14:paraId="58B12202">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3.教育支出（类）普通教育（款）小学教育（项）:支出决算数为1,410.17万元，比上年决算增加6.67万元，增长0.48%，主要原因是：单位本</w:t>
      </w:r>
      <w:r>
        <w:rPr>
          <w:rFonts w:hint="eastAsia" w:ascii="仿宋_GB2312" w:eastAsia="仿宋_GB2312"/>
          <w:sz w:val="32"/>
          <w:szCs w:val="32"/>
          <w:lang w:val="zh-CN"/>
        </w:rPr>
        <w:t>年家庭经济困难学生生活补助（寄宿生）</w:t>
      </w:r>
      <w:r>
        <w:rPr>
          <w:rFonts w:hint="eastAsia" w:ascii="仿宋_GB2312" w:eastAsia="仿宋_GB2312"/>
          <w:sz w:val="32"/>
          <w:szCs w:val="32"/>
          <w:lang w:val="en-US" w:eastAsia="zh-CN"/>
        </w:rPr>
        <w:t>项目经费</w:t>
      </w:r>
      <w:r>
        <w:rPr>
          <w:rFonts w:hint="eastAsia" w:ascii="仿宋_GB2312" w:eastAsia="仿宋_GB2312"/>
          <w:sz w:val="32"/>
          <w:szCs w:val="32"/>
        </w:rPr>
        <w:t>增加</w:t>
      </w:r>
      <w:r>
        <w:rPr>
          <w:rFonts w:hint="eastAsia" w:ascii="仿宋_GB2312" w:eastAsia="仿宋_GB2312"/>
          <w:sz w:val="32"/>
          <w:szCs w:val="32"/>
          <w:lang w:val="zh-CN"/>
        </w:rPr>
        <w:t>。</w:t>
      </w:r>
    </w:p>
    <w:p w14:paraId="7F7B1FC8">
      <w:pPr>
        <w:ind w:firstLine="640" w:firstLineChars="200"/>
        <w:rPr>
          <w:rFonts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4.社会保障和就业支出（类）行政事业单位养老支出（款）事业单位离退休（项）:支出决算数为11.69万元，比上年决算增加7.12万元，增长155.</w:t>
      </w:r>
      <w:r>
        <w:rPr>
          <w:rFonts w:hint="eastAsia" w:ascii="仿宋_GB2312" w:eastAsia="仿宋_GB2312"/>
          <w:sz w:val="32"/>
          <w:szCs w:val="32"/>
          <w:lang w:val="en-US" w:eastAsia="zh-CN"/>
        </w:rPr>
        <w:t>80</w:t>
      </w:r>
      <w:r>
        <w:rPr>
          <w:rFonts w:hint="eastAsia" w:ascii="仿宋_GB2312" w:eastAsia="仿宋_GB2312"/>
          <w:sz w:val="32"/>
          <w:szCs w:val="32"/>
        </w:rPr>
        <w:t>%，主要原因是：单位本年</w:t>
      </w:r>
      <w:r>
        <w:rPr>
          <w:rFonts w:hint="eastAsia" w:eastAsia="仿宋_GB2312"/>
          <w:sz w:val="32"/>
          <w:szCs w:val="32"/>
        </w:rPr>
        <w:t>退休教师</w:t>
      </w:r>
      <w:r>
        <w:rPr>
          <w:rFonts w:hint="eastAsia" w:eastAsia="仿宋_GB2312"/>
          <w:sz w:val="32"/>
          <w:szCs w:val="32"/>
          <w:lang w:val="en-US" w:eastAsia="zh-CN"/>
        </w:rPr>
        <w:t>基础</w:t>
      </w:r>
      <w:r>
        <w:rPr>
          <w:rFonts w:hint="eastAsia" w:eastAsia="仿宋_GB2312"/>
          <w:sz w:val="32"/>
          <w:szCs w:val="32"/>
        </w:rPr>
        <w:t>绩效奖金增加</w:t>
      </w:r>
      <w:r>
        <w:rPr>
          <w:rFonts w:hint="eastAsia" w:eastAsia="仿宋_GB2312"/>
          <w:sz w:val="32"/>
          <w:szCs w:val="32"/>
          <w:lang w:val="zh-CN"/>
        </w:rPr>
        <w:t>。</w:t>
      </w:r>
    </w:p>
    <w:p w14:paraId="408D4DE9">
      <w:pPr>
        <w:ind w:firstLine="640" w:firstLineChars="200"/>
        <w:jc w:val="left"/>
        <w:rPr>
          <w:rFonts w:ascii="仿宋_GB2312" w:eastAsia="仿宋_GB2312"/>
          <w:sz w:val="32"/>
          <w:szCs w:val="32"/>
          <w:lang w:val="zh-CN"/>
        </w:rPr>
      </w:pPr>
      <w:r>
        <w:rPr>
          <w:rFonts w:hint="eastAsia" w:ascii="仿宋_GB2312" w:eastAsia="仿宋_GB2312"/>
          <w:sz w:val="32"/>
          <w:szCs w:val="32"/>
        </w:rPr>
        <w:t>5.教育支出（类）普通教育（款）学前教育（项）:支出决算数为281.90万元，比上年决算增加49.78万元，增长21.45%，主要原因是：单位本年</w:t>
      </w:r>
      <w:r>
        <w:rPr>
          <w:rFonts w:hint="eastAsia" w:ascii="仿宋_GB2312" w:eastAsia="仿宋_GB2312"/>
          <w:sz w:val="32"/>
          <w:szCs w:val="32"/>
          <w:lang w:val="en-US" w:eastAsia="zh-CN"/>
        </w:rPr>
        <w:t>在职</w:t>
      </w:r>
      <w:r>
        <w:rPr>
          <w:rFonts w:hint="eastAsia" w:ascii="仿宋_GB2312" w:eastAsia="仿宋_GB2312"/>
          <w:sz w:val="32"/>
          <w:szCs w:val="32"/>
        </w:rPr>
        <w:t>人员工资</w:t>
      </w:r>
      <w:r>
        <w:rPr>
          <w:rFonts w:hint="eastAsia" w:ascii="仿宋_GB2312" w:eastAsia="仿宋_GB2312"/>
          <w:sz w:val="32"/>
          <w:szCs w:val="32"/>
          <w:lang w:val="en-US" w:eastAsia="zh-CN"/>
        </w:rPr>
        <w:t>调增，工资</w:t>
      </w:r>
      <w:r>
        <w:rPr>
          <w:rFonts w:hint="eastAsia" w:ascii="仿宋_GB2312" w:eastAsia="仿宋_GB2312"/>
          <w:sz w:val="32"/>
          <w:szCs w:val="32"/>
        </w:rPr>
        <w:t>、津贴补贴、</w:t>
      </w:r>
      <w:r>
        <w:rPr>
          <w:rFonts w:hint="eastAsia" w:ascii="仿宋_GB2312" w:eastAsia="仿宋_GB2312"/>
          <w:sz w:val="32"/>
          <w:szCs w:val="32"/>
          <w:lang w:val="en-US" w:eastAsia="zh-CN"/>
        </w:rPr>
        <w:t>奖金等相关人员经费</w:t>
      </w:r>
      <w:r>
        <w:rPr>
          <w:rFonts w:hint="eastAsia" w:ascii="仿宋_GB2312" w:eastAsia="仿宋_GB2312"/>
          <w:sz w:val="32"/>
          <w:szCs w:val="32"/>
        </w:rPr>
        <w:t>增加</w:t>
      </w:r>
      <w:r>
        <w:rPr>
          <w:rFonts w:hint="eastAsia" w:ascii="仿宋_GB2312" w:eastAsia="仿宋_GB2312"/>
          <w:sz w:val="32"/>
          <w:szCs w:val="32"/>
          <w:lang w:val="zh-CN"/>
        </w:rPr>
        <w:t>。</w:t>
      </w:r>
    </w:p>
    <w:p w14:paraId="0EC81DAE">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6.社会保障和就业支出（类）行政事业单位养老支出（款）机关事业单位职业年金缴费支出（项）:支出决算数为69.64万元，比上年决算增加69.64万元，增长100%，主要原因是：单位本年退休人员增加</w:t>
      </w:r>
      <w:r>
        <w:rPr>
          <w:rFonts w:hint="eastAsia" w:ascii="仿宋_GB2312" w:eastAsia="仿宋_GB2312"/>
          <w:sz w:val="32"/>
          <w:szCs w:val="32"/>
          <w:lang w:eastAsia="zh-CN"/>
        </w:rPr>
        <w:t>，</w:t>
      </w:r>
      <w:r>
        <w:rPr>
          <w:rFonts w:hint="eastAsia" w:eastAsia="仿宋_GB2312"/>
          <w:sz w:val="32"/>
          <w:szCs w:val="32"/>
        </w:rPr>
        <w:t>职业年金</w:t>
      </w:r>
      <w:r>
        <w:rPr>
          <w:rFonts w:hint="eastAsia" w:eastAsia="仿宋_GB2312"/>
          <w:sz w:val="32"/>
          <w:szCs w:val="32"/>
          <w:lang w:val="en-US" w:eastAsia="zh-CN"/>
        </w:rPr>
        <w:t>缴费增加</w:t>
      </w:r>
      <w:r>
        <w:rPr>
          <w:rFonts w:hint="eastAsia" w:ascii="仿宋_GB2312" w:eastAsia="仿宋_GB2312"/>
          <w:sz w:val="32"/>
          <w:szCs w:val="32"/>
          <w:lang w:val="zh-CN"/>
        </w:rPr>
        <w:t>。</w:t>
      </w:r>
    </w:p>
    <w:p w14:paraId="0033632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1AB8C13">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1,691.05万元，其中：人员经费1,675.01万元，包括：基本工资、津贴补贴、奖金、机关事业单位基本养老保险缴费、职业年金缴费、职工基本医疗保险缴费、其他社会保障缴费、住房公积金、退休费、抚恤金、生活补助、助学金、奖励金、其他对个人和家庭的补助。</w:t>
      </w:r>
    </w:p>
    <w:p w14:paraId="185CD267">
      <w:pPr>
        <w:ind w:firstLine="640" w:firstLineChars="200"/>
        <w:rPr>
          <w:rFonts w:ascii="仿宋_GB2312" w:eastAsia="仿宋_GB2312"/>
          <w:sz w:val="32"/>
          <w:szCs w:val="32"/>
        </w:rPr>
      </w:pPr>
      <w:r>
        <w:rPr>
          <w:rFonts w:hint="eastAsia" w:ascii="仿宋_GB2312" w:eastAsia="仿宋_GB2312"/>
          <w:sz w:val="32"/>
          <w:szCs w:val="32"/>
        </w:rPr>
        <w:t>公用经费16.04万元，包括：水费、电费、邮电费、取暖费。</w:t>
      </w:r>
    </w:p>
    <w:p w14:paraId="453D142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3D134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0D7457B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7963D7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186F6280">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0E57CB7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744D50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7620C547">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01CF2B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5BC79E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F39193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5796780">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3CD12C2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D461DB8">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木垒哈萨克自治县博斯坦乡中心学校（事业单位）公用经费支出16.04万元，</w:t>
      </w:r>
      <w:r>
        <w:rPr>
          <w:rFonts w:hint="eastAsia" w:ascii="仿宋_GB2312" w:eastAsia="仿宋_GB2312"/>
          <w:sz w:val="32"/>
          <w:szCs w:val="32"/>
          <w:lang w:val="zh-CN"/>
        </w:rPr>
        <w:t>比上年增加12.03万元，增长300.00%，主要原因是：</w:t>
      </w:r>
      <w:r>
        <w:rPr>
          <w:rFonts w:hint="eastAsia" w:ascii="仿宋_GB2312" w:eastAsia="仿宋_GB2312"/>
          <w:sz w:val="32"/>
          <w:szCs w:val="32"/>
        </w:rPr>
        <w:t>单位本年电费、取暖费较上年增加。</w:t>
      </w:r>
    </w:p>
    <w:p w14:paraId="6E5D85F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C5CC32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167CF2BF">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11278A8B">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076102AA">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w:t>
      </w:r>
      <w:r>
        <w:rPr>
          <w:rFonts w:hint="eastAsia" w:ascii="仿宋_GB2312" w:eastAsia="仿宋_GB2312"/>
          <w:sz w:val="32"/>
          <w:szCs w:val="32"/>
        </w:rPr>
        <w:t>,</w:t>
      </w:r>
      <w:r>
        <w:rPr>
          <w:rFonts w:hint="eastAsia" w:ascii="仿宋_GB2312" w:eastAsia="仿宋_GB2312"/>
          <w:sz w:val="32"/>
          <w:szCs w:val="32"/>
          <w:lang w:val="zh-CN"/>
        </w:rPr>
        <w:t>452.37</w:t>
      </w:r>
      <w:r>
        <w:rPr>
          <w:rFonts w:hint="eastAsia" w:ascii="仿宋_GB2312" w:eastAsia="仿宋_GB2312"/>
          <w:sz w:val="32"/>
          <w:szCs w:val="32"/>
        </w:rPr>
        <w:t>万元，房</w:t>
      </w:r>
      <w:r>
        <w:rPr>
          <w:rFonts w:hint="eastAsia" w:ascii="仿宋_GB2312" w:eastAsia="仿宋_GB2312"/>
          <w:sz w:val="32"/>
          <w:szCs w:val="32"/>
          <w:lang w:val="zh-CN"/>
        </w:rPr>
        <w:t>屋8</w:t>
      </w:r>
      <w:r>
        <w:rPr>
          <w:rFonts w:hint="eastAsia" w:ascii="仿宋_GB2312" w:eastAsia="仿宋_GB2312"/>
          <w:sz w:val="32"/>
          <w:szCs w:val="32"/>
        </w:rPr>
        <w:t>,</w:t>
      </w:r>
      <w:r>
        <w:rPr>
          <w:rFonts w:hint="eastAsia" w:ascii="仿宋_GB2312" w:eastAsia="仿宋_GB2312"/>
          <w:sz w:val="32"/>
          <w:szCs w:val="32"/>
          <w:lang w:val="zh-CN"/>
        </w:rPr>
        <w:t>518.73平方米，价值1,088.96万元。车辆0辆，价值0.00万元，其中：副部（省）级及以上领导用车0辆、主要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6CE76CEA">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D9F5A37">
      <w:pPr>
        <w:ind w:firstLine="640" w:firstLineChars="200"/>
        <w:jc w:val="left"/>
        <w:rPr>
          <w:rFonts w:hint="eastAsia" w:ascii="仿宋_GB2312" w:hAnsi="仿宋_GB2312" w:eastAsia="仿宋_GB2312" w:cs="仿宋_GB2312"/>
          <w:kern w:val="0"/>
          <w:sz w:val="32"/>
          <w:szCs w:val="32"/>
          <w:lang w:eastAsia="zh-Hans"/>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预算总额1,806.54万元，实际执行总额1,806.54万元；预算绩效评价项目0个，全年预算数0.00万元，全年执行数0.00万元。预算绩效管理取得的成效：一是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结合我校实际</w:t>
      </w:r>
      <w:r>
        <w:rPr>
          <w:rFonts w:hint="eastAsia" w:ascii="仿宋_GB2312" w:hAnsi="宋体" w:eastAsia="仿宋_GB2312"/>
          <w:bCs/>
          <w:sz w:val="32"/>
          <w:szCs w:val="32"/>
          <w:lang w:eastAsia="zh-CN"/>
        </w:rPr>
        <w:t>情况</w:t>
      </w:r>
      <w:r>
        <w:rPr>
          <w:rFonts w:hint="eastAsia" w:ascii="仿宋_GB2312" w:hAnsi="宋体" w:eastAsia="仿宋_GB2312"/>
          <w:bCs/>
          <w:sz w:val="32"/>
          <w:szCs w:val="32"/>
        </w:rPr>
        <w:t>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未健全公务卡强制结算目录，发生的差旅费、培训费等经费支出，除按规定实行财政直接支付或者银行转账外，应当使用公务卡结算，而不能通过个人银行卡进行核算和报销</w:t>
      </w:r>
      <w:r>
        <w:rPr>
          <w:rFonts w:hint="eastAsia" w:ascii="仿宋_GB2312" w:eastAsia="仿宋_GB2312"/>
          <w:sz w:val="32"/>
          <w:szCs w:val="32"/>
        </w:rPr>
        <w:t>；二是</w:t>
      </w:r>
      <w:r>
        <w:rPr>
          <w:rFonts w:hint="eastAsia" w:ascii="仿宋_GB2312" w:hAnsi="宋体" w:eastAsia="仿宋_GB2312"/>
          <w:bCs/>
          <w:sz w:val="32"/>
          <w:szCs w:val="32"/>
        </w:rPr>
        <w:t>未定期或者不定期对资产进行盘点、对账。出现资产盘盈盘亏，报废的因各种原因未及时做资产减少，出现账实不符现象</w:t>
      </w:r>
      <w:r>
        <w:rPr>
          <w:rFonts w:hint="eastAsia" w:ascii="仿宋_GB2312" w:eastAsia="仿宋_GB2312"/>
          <w:sz w:val="32"/>
          <w:szCs w:val="32"/>
        </w:rPr>
        <w:t>。下一步改进措施：一是</w:t>
      </w:r>
      <w:r>
        <w:rPr>
          <w:rFonts w:hint="eastAsia" w:ascii="仿宋_GB2312" w:hAnsi="宋体" w:eastAsia="仿宋_GB2312"/>
          <w:bCs/>
          <w:sz w:val="32"/>
          <w:szCs w:val="32"/>
        </w:rPr>
        <w:t>加强财务管理，严把财务审批，加强单位财务管理，健全单位财务管理制度，规范财务行为，把制度落到实处</w:t>
      </w:r>
      <w:r>
        <w:rPr>
          <w:rFonts w:hint="eastAsia" w:ascii="仿宋_GB2312" w:eastAsia="仿宋_GB2312"/>
          <w:sz w:val="32"/>
          <w:szCs w:val="32"/>
        </w:rPr>
        <w:t>；二是</w:t>
      </w:r>
      <w:r>
        <w:rPr>
          <w:rFonts w:hint="eastAsia" w:ascii="仿宋_GB2312" w:hAnsi="宋体" w:eastAsia="仿宋_GB2312"/>
          <w:bCs/>
          <w:sz w:val="32"/>
          <w:szCs w:val="32"/>
        </w:rPr>
        <w:t>资产管理要对资产从取得到退出的全过程实施动态管理；应当定期或者不定期对资产进行盘点、对账应当按照财务、会计和资产管理制度有关规定处理。</w:t>
      </w:r>
      <w:r>
        <w:rPr>
          <w:rFonts w:hint="eastAsia" w:ascii="仿宋_GB2312" w:eastAsia="仿宋_GB2312"/>
          <w:sz w:val="32"/>
          <w:szCs w:val="32"/>
        </w:rPr>
        <w:t>具体项目自评情况附绩效自评表及自评报告。</w:t>
      </w:r>
    </w:p>
    <w:tbl>
      <w:tblPr>
        <w:tblStyle w:val="9"/>
        <w:tblW w:w="5130" w:type="pct"/>
        <w:jc w:val="center"/>
        <w:tblLayout w:type="fixed"/>
        <w:tblCellMar>
          <w:top w:w="0" w:type="dxa"/>
          <w:left w:w="108" w:type="dxa"/>
          <w:bottom w:w="0" w:type="dxa"/>
          <w:right w:w="108" w:type="dxa"/>
        </w:tblCellMar>
      </w:tblPr>
      <w:tblGrid>
        <w:gridCol w:w="1812"/>
        <w:gridCol w:w="1107"/>
        <w:gridCol w:w="1173"/>
        <w:gridCol w:w="1044"/>
        <w:gridCol w:w="1152"/>
        <w:gridCol w:w="654"/>
        <w:gridCol w:w="899"/>
        <w:gridCol w:w="903"/>
      </w:tblGrid>
      <w:tr w14:paraId="79114D3A">
        <w:tblPrEx>
          <w:tblCellMar>
            <w:top w:w="0" w:type="dxa"/>
            <w:left w:w="108" w:type="dxa"/>
            <w:bottom w:w="0" w:type="dxa"/>
            <w:right w:w="108" w:type="dxa"/>
          </w:tblCellMar>
        </w:tblPrEx>
        <w:trPr>
          <w:trHeight w:val="522" w:hRule="atLeast"/>
          <w:jc w:val="center"/>
        </w:trPr>
        <w:tc>
          <w:tcPr>
            <w:tcW w:w="874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793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15F52686">
        <w:tblPrEx>
          <w:tblCellMar>
            <w:top w:w="0" w:type="dxa"/>
            <w:left w:w="108" w:type="dxa"/>
            <w:bottom w:w="0" w:type="dxa"/>
            <w:right w:w="108" w:type="dxa"/>
          </w:tblCellMar>
        </w:tblPrEx>
        <w:trPr>
          <w:trHeight w:val="360" w:hRule="atLeast"/>
          <w:jc w:val="center"/>
        </w:trPr>
        <w:tc>
          <w:tcPr>
            <w:tcW w:w="874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12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4D230373">
        <w:tblPrEx>
          <w:tblCellMar>
            <w:top w:w="0" w:type="dxa"/>
            <w:left w:w="108" w:type="dxa"/>
            <w:bottom w:w="0" w:type="dxa"/>
            <w:right w:w="108" w:type="dxa"/>
          </w:tblCellMar>
        </w:tblPrEx>
        <w:trPr>
          <w:trHeight w:val="66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6FD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6932"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E09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w:t>
            </w:r>
          </w:p>
        </w:tc>
      </w:tr>
      <w:tr w14:paraId="3BB81ACD">
        <w:tblPrEx>
          <w:tblCellMar>
            <w:top w:w="0" w:type="dxa"/>
            <w:left w:w="108" w:type="dxa"/>
            <w:bottom w:w="0" w:type="dxa"/>
            <w:right w:w="108" w:type="dxa"/>
          </w:tblCellMar>
        </w:tblPrEx>
        <w:trPr>
          <w:trHeight w:val="57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DED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EC7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C2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552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2B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103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B45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237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2F30CDEE">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34C83">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9FA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AC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27.59</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48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31.81</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35B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31.81</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1D1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92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A8F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230D940">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CFAAF">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16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7F2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14.01</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E77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41.98</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CAB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41.98</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1F5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357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007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52D1B82">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29D9F">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26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CF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70A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49E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8F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E7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E4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8732364">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E8FFE">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C6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B93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1,676.42</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A5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1,725.80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00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1,725.80</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D6E2">
            <w:pPr>
              <w:jc w:val="center"/>
              <w:rPr>
                <w:rFonts w:hint="eastAsia" w:ascii="宋体" w:hAnsi="宋体" w:cs="宋体"/>
                <w:color w:val="000000"/>
                <w:sz w:val="20"/>
                <w:szCs w:val="20"/>
              </w:rPr>
            </w:pPr>
            <w:r>
              <w:rPr>
                <w:rFonts w:hint="eastAsia"/>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71FF0">
            <w:pPr>
              <w:jc w:val="center"/>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BAE75">
            <w:pPr>
              <w:jc w:val="center"/>
              <w:rPr>
                <w:rFonts w:hint="eastAsia" w:ascii="宋体" w:hAnsi="宋体" w:cs="宋体"/>
                <w:color w:val="000000"/>
                <w:sz w:val="20"/>
                <w:szCs w:val="20"/>
              </w:rPr>
            </w:pPr>
            <w:r>
              <w:rPr>
                <w:rFonts w:hint="eastAsia"/>
              </w:rPr>
              <w:t>-</w:t>
            </w:r>
          </w:p>
        </w:tc>
      </w:tr>
      <w:tr w14:paraId="5C346710">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E7338">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040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03A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5E1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6.95</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991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6.95</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09A11">
            <w:pPr>
              <w:jc w:val="center"/>
              <w:rPr>
                <w:rFonts w:hint="eastAsia" w:ascii="宋体" w:hAnsi="宋体" w:cs="宋体"/>
                <w:color w:val="000000"/>
                <w:sz w:val="20"/>
                <w:szCs w:val="20"/>
              </w:rPr>
            </w:pPr>
            <w:r>
              <w:rPr>
                <w:rFonts w:hint="eastAsia"/>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790A">
            <w:pPr>
              <w:jc w:val="center"/>
              <w:rPr>
                <w:rFonts w:hint="eastAsia" w:ascii="宋体" w:hAnsi="宋体" w:cs="宋体"/>
                <w:color w:val="000000"/>
                <w:sz w:val="20"/>
                <w:szCs w:val="20"/>
              </w:rPr>
            </w:pPr>
            <w:r>
              <w:rPr>
                <w:rFonts w:hint="eastAsia"/>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D53C1">
            <w:pPr>
              <w:jc w:val="center"/>
              <w:rPr>
                <w:rFonts w:hint="eastAsia" w:ascii="宋体" w:hAnsi="宋体" w:cs="宋体"/>
                <w:color w:val="000000"/>
                <w:sz w:val="20"/>
                <w:szCs w:val="20"/>
              </w:rPr>
            </w:pPr>
            <w:r>
              <w:rPr>
                <w:rFonts w:hint="eastAsia"/>
              </w:rPr>
              <w:t>-</w:t>
            </w:r>
          </w:p>
        </w:tc>
      </w:tr>
      <w:tr w14:paraId="24EA624E">
        <w:tblPrEx>
          <w:tblCellMar>
            <w:top w:w="0" w:type="dxa"/>
            <w:left w:w="108" w:type="dxa"/>
            <w:bottom w:w="0" w:type="dxa"/>
            <w:right w:w="108" w:type="dxa"/>
          </w:tblCellMar>
        </w:tblPrEx>
        <w:trPr>
          <w:trHeight w:val="88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8CC01">
            <w:pPr>
              <w:jc w:val="center"/>
              <w:rPr>
                <w:rFonts w:hint="eastAsia" w:ascii="宋体" w:hAnsi="宋体" w:cs="宋体"/>
                <w:color w:val="000000"/>
                <w:sz w:val="20"/>
                <w:szCs w:val="20"/>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EE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C9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1,718.02</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832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1,806.54</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384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1,806.54</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7F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9F0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AD1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46DDB0C">
        <w:tblPrEx>
          <w:tblCellMar>
            <w:top w:w="0" w:type="dxa"/>
            <w:left w:w="108" w:type="dxa"/>
            <w:bottom w:w="0" w:type="dxa"/>
            <w:right w:w="108" w:type="dxa"/>
          </w:tblCellMar>
        </w:tblPrEx>
        <w:trPr>
          <w:trHeight w:val="705"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2B1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3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74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60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604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3D1A1212">
        <w:tblPrEx>
          <w:tblCellMar>
            <w:top w:w="0" w:type="dxa"/>
            <w:left w:w="108" w:type="dxa"/>
            <w:bottom w:w="0" w:type="dxa"/>
            <w:right w:w="108" w:type="dxa"/>
          </w:tblCellMar>
        </w:tblPrEx>
        <w:trPr>
          <w:trHeight w:val="200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E427B">
            <w:pPr>
              <w:jc w:val="center"/>
              <w:rPr>
                <w:rFonts w:hint="eastAsia" w:ascii="宋体" w:hAnsi="宋体" w:cs="宋体"/>
                <w:color w:val="000000"/>
                <w:sz w:val="20"/>
                <w:szCs w:val="20"/>
              </w:rPr>
            </w:pPr>
          </w:p>
        </w:tc>
        <w:tc>
          <w:tcPr>
            <w:tcW w:w="33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DE9A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10B1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截至2023年</w:t>
            </w:r>
            <w:r>
              <w:rPr>
                <w:rFonts w:hint="eastAsia" w:ascii="宋体" w:hAnsi="宋体" w:cs="宋体"/>
                <w:color w:val="000000"/>
                <w:kern w:val="0"/>
                <w:sz w:val="20"/>
                <w:szCs w:val="20"/>
                <w:lang w:bidi="ar"/>
              </w:rPr>
              <w:t>部门整体自评，我单位已完成如下工作：保障办公人员数量90人，各类考试完成及时率100%，资助学生人数127人，开展教师培训数量3次，按照义务教育课程计划，开齐课程，开足课时，认真实施小学的教育教学管理，全面推进素质教育，全面提高教育教学质量。组织开展本校的教育科学科研和教育教学改革，全力推进素质教育实施；</w:t>
            </w:r>
          </w:p>
        </w:tc>
      </w:tr>
      <w:tr w14:paraId="3A7A8D4A">
        <w:tblPrEx>
          <w:tblCellMar>
            <w:top w:w="0" w:type="dxa"/>
            <w:left w:w="108" w:type="dxa"/>
            <w:bottom w:w="0" w:type="dxa"/>
            <w:right w:w="108" w:type="dxa"/>
          </w:tblCellMar>
        </w:tblPrEx>
        <w:trPr>
          <w:trHeight w:val="58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CC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860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38B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2CE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10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89D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892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6E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3FBEDB57">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F1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832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693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A96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&gt;=90人</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BB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木垒哈萨克自治县博斯坦中心学校机构改革方案</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7B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8F3F">
            <w:pPr>
              <w:widowControl/>
              <w:jc w:val="center"/>
              <w:textAlignment w:val="center"/>
              <w:rPr>
                <w:rFonts w:ascii="Arial" w:hAnsi="Arial" w:cs="Arial"/>
                <w:color w:val="000000"/>
                <w:sz w:val="20"/>
                <w:szCs w:val="20"/>
              </w:rPr>
            </w:pPr>
            <w:r>
              <w:rPr>
                <w:rStyle w:val="15"/>
                <w:rFonts w:hint="default"/>
                <w:lang w:bidi="ar"/>
              </w:rPr>
              <w:t>90人</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B6D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6D5FC3C4">
        <w:tblPrEx>
          <w:tblCellMar>
            <w:top w:w="0" w:type="dxa"/>
            <w:left w:w="108" w:type="dxa"/>
            <w:bottom w:w="0" w:type="dxa"/>
            <w:right w:w="108" w:type="dxa"/>
          </w:tblCellMar>
        </w:tblPrEx>
        <w:trPr>
          <w:trHeight w:val="74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A6D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F55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9D5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E6A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AF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木垒哈萨克自治县博斯坦中心学校机构改革方案</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D05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E58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69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2CB1E8DB">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40AC6">
            <w:pPr>
              <w:jc w:val="center"/>
              <w:rPr>
                <w:rFonts w:hint="eastAsia" w:ascii="宋体" w:hAnsi="宋体" w:cs="宋体"/>
                <w:color w:val="000000"/>
                <w:sz w:val="20"/>
                <w:szCs w:val="20"/>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64E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53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054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&gt;=127人</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48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DF3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4F52">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127人</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EF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D6180F5">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CFCDA">
            <w:pPr>
              <w:jc w:val="center"/>
              <w:rPr>
                <w:rFonts w:hint="eastAsia" w:ascii="宋体" w:hAnsi="宋体" w:cs="宋体"/>
                <w:color w:val="000000"/>
                <w:sz w:val="20"/>
                <w:szCs w:val="20"/>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1B0F8">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C1A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988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E28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BE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6A84C">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15"/>
                <w:rFonts w:hint="default"/>
                <w:lang w:bidi="ar"/>
              </w:rPr>
              <w:t>8次</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1E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DD1923C">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92DC5">
            <w:pPr>
              <w:jc w:val="center"/>
              <w:rPr>
                <w:rFonts w:hint="eastAsia" w:ascii="宋体" w:hAnsi="宋体" w:cs="宋体"/>
                <w:color w:val="000000"/>
                <w:sz w:val="20"/>
                <w:szCs w:val="20"/>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0D5B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E41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B3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95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122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4B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675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14:paraId="7C93D353">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B96B2">
            <w:pPr>
              <w:jc w:val="center"/>
              <w:rPr>
                <w:rFonts w:hint="eastAsia" w:ascii="宋体" w:hAnsi="宋体" w:cs="宋体"/>
                <w:color w:val="000000"/>
                <w:sz w:val="20"/>
                <w:szCs w:val="20"/>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AB252">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EB1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D2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BF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BFE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45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013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6F5C602">
        <w:tblPrEx>
          <w:tblCellMar>
            <w:top w:w="0" w:type="dxa"/>
            <w:left w:w="108" w:type="dxa"/>
            <w:bottom w:w="0" w:type="dxa"/>
            <w:right w:w="108" w:type="dxa"/>
          </w:tblCellMar>
        </w:tblPrEx>
        <w:trPr>
          <w:trHeight w:val="740" w:hRule="atLeast"/>
          <w:jc w:val="center"/>
        </w:trPr>
        <w:tc>
          <w:tcPr>
            <w:tcW w:w="18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FE3F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2F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E59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62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7D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57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BC67">
            <w:pPr>
              <w:widowControl/>
              <w:jc w:val="center"/>
              <w:textAlignment w:val="center"/>
              <w:rPr>
                <w:rFonts w:hint="eastAsia" w:ascii="宋体" w:hAnsi="宋体" w:cs="宋体"/>
                <w:color w:val="000000"/>
                <w:sz w:val="20"/>
                <w:szCs w:val="20"/>
              </w:rPr>
            </w:pPr>
            <w:bookmarkStart w:id="48" w:name="_GoBack"/>
            <w:r>
              <w:rPr>
                <w:rFonts w:hint="eastAsia" w:ascii="宋体" w:hAnsi="宋体" w:cs="宋体"/>
                <w:color w:val="000000"/>
                <w:kern w:val="0"/>
                <w:sz w:val="20"/>
                <w:szCs w:val="20"/>
                <w:lang w:bidi="ar"/>
              </w:rPr>
              <w:t>22</w:t>
            </w:r>
            <w:bookmarkEnd w:id="48"/>
            <w:r>
              <w:rPr>
                <w:rFonts w:hint="eastAsia" w:ascii="宋体" w:hAnsi="宋体" w:cs="宋体"/>
                <w:color w:val="000000"/>
                <w:kern w:val="0"/>
                <w:sz w:val="20"/>
                <w:szCs w:val="20"/>
                <w:lang w:bidi="ar"/>
              </w:rPr>
              <w:t>次</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EDB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4FF2943">
        <w:tblPrEx>
          <w:tblCellMar>
            <w:top w:w="0" w:type="dxa"/>
            <w:left w:w="108" w:type="dxa"/>
            <w:bottom w:w="0" w:type="dxa"/>
            <w:right w:w="108" w:type="dxa"/>
          </w:tblCellMar>
        </w:tblPrEx>
        <w:trPr>
          <w:trHeight w:val="740" w:hRule="atLeast"/>
          <w:jc w:val="center"/>
        </w:trPr>
        <w:tc>
          <w:tcPr>
            <w:tcW w:w="18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38083">
            <w:pPr>
              <w:jc w:val="center"/>
              <w:rPr>
                <w:rFonts w:hint="eastAsia" w:ascii="宋体" w:hAnsi="宋体" w:cs="宋体"/>
                <w:color w:val="000000"/>
                <w:sz w:val="20"/>
                <w:szCs w:val="20"/>
              </w:rPr>
            </w:pP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DC4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9E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4B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AF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A3E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3F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E80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18BEFDC6">
        <w:tblPrEx>
          <w:tblCellMar>
            <w:top w:w="0" w:type="dxa"/>
            <w:left w:w="108" w:type="dxa"/>
            <w:bottom w:w="0" w:type="dxa"/>
            <w:right w:w="108" w:type="dxa"/>
          </w:tblCellMar>
        </w:tblPrEx>
        <w:trPr>
          <w:trHeight w:val="740" w:hRule="atLeast"/>
          <w:jc w:val="center"/>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B2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2B6E8">
            <w:pPr>
              <w:jc w:val="center"/>
              <w:rPr>
                <w:rFonts w:hint="eastAsia" w:ascii="宋体" w:hAnsi="宋体" w:cs="宋体"/>
                <w:color w:val="000000"/>
                <w:sz w:val="20"/>
                <w:szCs w:val="20"/>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A2C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D5D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55B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木垒哈萨克自治县博斯坦乡中心学校2023年工作计划</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38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7ED8">
            <w:pPr>
              <w:widowControl/>
              <w:jc w:val="center"/>
              <w:textAlignment w:val="center"/>
              <w:rPr>
                <w:rFonts w:ascii="Arial" w:hAnsi="Arial" w:cs="Arial"/>
                <w:color w:val="000000"/>
                <w:sz w:val="20"/>
                <w:szCs w:val="20"/>
              </w:rPr>
            </w:pPr>
            <w:r>
              <w:rPr>
                <w:rStyle w:val="15"/>
                <w:rFonts w:hint="default"/>
                <w:lang w:bidi="ar"/>
              </w:rPr>
              <w:t>90%</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5E5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0DB6B516">
      <w:pPr>
        <w:ind w:firstLine="640" w:firstLineChars="200"/>
        <w:jc w:val="left"/>
        <w:rPr>
          <w:rFonts w:hint="eastAsia" w:ascii="黑体" w:hAnsi="黑体" w:eastAsia="黑体" w:cs="宋体"/>
          <w:bCs/>
          <w:kern w:val="0"/>
          <w:sz w:val="32"/>
          <w:szCs w:val="32"/>
        </w:rPr>
      </w:pPr>
    </w:p>
    <w:p w14:paraId="6A7FF39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B41132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3145CF14">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D4658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6AFB3C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28B7A7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E3382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30498D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097ECE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7B421F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1D276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B7EC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4DC6C0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F9CC55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945AB6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E1A911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DC280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41E1A3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21A35D6">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406B27E">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99CC2DF">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70DF0FB">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4B91B706">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5D9BC0C0">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D70E08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A35B60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622E99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25A1E91">
      <w:pPr>
        <w:ind w:firstLine="640" w:firstLineChars="200"/>
        <w:rPr>
          <w:rFonts w:ascii="仿宋_GB2312" w:eastAsia="仿宋_GB2312"/>
          <w:sz w:val="32"/>
          <w:szCs w:val="32"/>
        </w:rPr>
      </w:pPr>
    </w:p>
    <w:p w14:paraId="6A87F09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8D52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3C9E4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C3C9E4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72BAD"/>
    <w:rsid w:val="00213C59"/>
    <w:rsid w:val="003210CE"/>
    <w:rsid w:val="00332435"/>
    <w:rsid w:val="003B7A7E"/>
    <w:rsid w:val="003C1EFC"/>
    <w:rsid w:val="003D3BC9"/>
    <w:rsid w:val="00891364"/>
    <w:rsid w:val="008D205C"/>
    <w:rsid w:val="00972BAD"/>
    <w:rsid w:val="009F0514"/>
    <w:rsid w:val="00A83395"/>
    <w:rsid w:val="00B70D59"/>
    <w:rsid w:val="00F52A8D"/>
    <w:rsid w:val="00F800B0"/>
    <w:rsid w:val="00FF45CE"/>
    <w:rsid w:val="019404F8"/>
    <w:rsid w:val="02BC7D0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8B0904"/>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7FB3435"/>
    <w:rsid w:val="180059E9"/>
    <w:rsid w:val="184510FD"/>
    <w:rsid w:val="190648B0"/>
    <w:rsid w:val="19071D6C"/>
    <w:rsid w:val="19D26CD4"/>
    <w:rsid w:val="19E60D19"/>
    <w:rsid w:val="1A3E3450"/>
    <w:rsid w:val="1AD807E5"/>
    <w:rsid w:val="1B39345B"/>
    <w:rsid w:val="1BFB2A1F"/>
    <w:rsid w:val="1C015D4A"/>
    <w:rsid w:val="1C08003D"/>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0C1D1D"/>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7F4EC2"/>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465CD"/>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262F44"/>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537F14"/>
    <w:rsid w:val="7C7248A0"/>
    <w:rsid w:val="7C976D69"/>
    <w:rsid w:val="7CD752DA"/>
    <w:rsid w:val="7CDE40AB"/>
    <w:rsid w:val="7CF057E2"/>
    <w:rsid w:val="7D0746CC"/>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 w:type="character" w:customStyle="1" w:styleId="15">
    <w:name w:val="font21"/>
    <w:basedOn w:val="10"/>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6204</Words>
  <Characters>7015</Characters>
  <Lines>58</Lines>
  <Paragraphs>16</Paragraphs>
  <TotalTime>6</TotalTime>
  <ScaleCrop>false</ScaleCrop>
  <LinksUpToDate>false</LinksUpToDate>
  <CharactersWithSpaces>7031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2024-12-02T08:17:18Z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